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0816F" w14:textId="033CCD0C" w:rsidR="00175473" w:rsidRPr="0093549D" w:rsidRDefault="00DF3923" w:rsidP="004A1128">
      <w:pPr>
        <w:spacing w:after="60"/>
        <w:jc w:val="center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color w:val="1F4E79"/>
          <w:sz w:val="22"/>
        </w:rPr>
        <w:t>AO Gazométrie 2026 — CHU de Toulouse</w:t>
      </w:r>
    </w:p>
    <w:p w14:paraId="423238A5" w14:textId="77777777" w:rsidR="00175473" w:rsidRPr="0093549D" w:rsidRDefault="00DF3923">
      <w:pPr>
        <w:spacing w:before="200" w:after="80"/>
        <w:jc w:val="center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40"/>
          <w:szCs w:val="36"/>
        </w:rPr>
        <w:t>ANNEXE — CADRE DE RÉPONSE TECHNIQUE</w:t>
      </w:r>
    </w:p>
    <w:p w14:paraId="1BB3EA0F" w14:textId="77777777" w:rsidR="00175473" w:rsidRPr="0093549D" w:rsidRDefault="00DF3923">
      <w:pPr>
        <w:spacing w:after="200"/>
        <w:jc w:val="center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color w:val="1F4E79"/>
          <w:sz w:val="28"/>
          <w:szCs w:val="26"/>
        </w:rPr>
        <w:t>Grilles de réponse du candidat</w:t>
      </w:r>
    </w:p>
    <w:p w14:paraId="60270C4D" w14:textId="00CCB7F0" w:rsidR="00175473" w:rsidRPr="0093549D" w:rsidRDefault="00DF3923">
      <w:pPr>
        <w:spacing w:after="120"/>
        <w:jc w:val="center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 xml:space="preserve">Marché de fourniture de réactifs et consommables de gazométrie en MAD (8 ans) et middleware EBMD connecté au SIL Molis </w:t>
      </w:r>
    </w:p>
    <w:p w14:paraId="550FD16B" w14:textId="77777777" w:rsidR="00175473" w:rsidRPr="0093549D" w:rsidRDefault="00DF3923">
      <w:pPr>
        <w:spacing w:before="200"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28"/>
          <w:szCs w:val="24"/>
        </w:rPr>
        <w:t>Objet et valeur du document</w:t>
      </w:r>
    </w:p>
    <w:p w14:paraId="5AE1E1D7" w14:textId="77777777" w:rsidR="00175473" w:rsidRPr="0093549D" w:rsidRDefault="00DF3923" w:rsidP="004A1128">
      <w:pPr>
        <w:spacing w:after="80"/>
        <w:jc w:val="both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Le présent cadre de réponse a pour objet de structurer et d’harmoniser les réponses des candidats afin d’en permettre l’analyse comparée. Il constitue un complément obligatoire du mémoire technique et ne s’y substitue pas : les grilles renvoient, pour chaque exigence, au paragraphe ou à la page du mémoire technique où l’élément est développé. En cas de divergence entre une grille et le mémoire technique, le mémoire technique fait foi ; toute case laissée vide pourra être interprétée comme une absence de réponse.</w:t>
      </w:r>
    </w:p>
    <w:p w14:paraId="26A1EB7E" w14:textId="77777777" w:rsidR="00175473" w:rsidRPr="0093549D" w:rsidRDefault="00DF3923">
      <w:pPr>
        <w:spacing w:before="160"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28"/>
          <w:szCs w:val="24"/>
        </w:rPr>
        <w:t>Règles de renseignement</w:t>
      </w:r>
    </w:p>
    <w:p w14:paraId="2CD41A50" w14:textId="77777777" w:rsidR="00175473" w:rsidRPr="0093549D" w:rsidRDefault="00DF3923">
      <w:pPr>
        <w:pStyle w:val="Paragraphedeliste"/>
        <w:numPr>
          <w:ilvl w:val="0"/>
          <w:numId w:val="2"/>
        </w:num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Le candidat complète l’intégralité des cellules sur fond clair. Aucune ligne ne doit rester sans réponse.</w:t>
      </w:r>
    </w:p>
    <w:p w14:paraId="60024B39" w14:textId="77777777" w:rsidR="00175473" w:rsidRPr="0093549D" w:rsidRDefault="00DF3923">
      <w:pPr>
        <w:pStyle w:val="Paragraphedeliste"/>
        <w:numPr>
          <w:ilvl w:val="0"/>
          <w:numId w:val="2"/>
        </w:num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Pour les fonctionnalités évaluées en « Oui / Non / Partiel » : « Oui » suppose une disponibilité native en standard ; « Partiel » désigne une disponibilité conditionnelle, optionnelle ou dégradée ; « Non » désigne une absence. Toute réponse « Non » ou « Partiel » est obligatoirement assortie de la solution organisationnelle ou technique compensatoire proposée.</w:t>
      </w:r>
    </w:p>
    <w:p w14:paraId="530CB394" w14:textId="77777777" w:rsidR="00175473" w:rsidRPr="0093549D" w:rsidRDefault="00DF3923">
      <w:pPr>
        <w:pStyle w:val="Paragraphedeliste"/>
        <w:numPr>
          <w:ilvl w:val="0"/>
          <w:numId w:val="2"/>
        </w:num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Les éléments chiffrés engageants (délais, durées, volumes de formation, MTBF, capacités de mémorisation, etc.) renseignés dans ces grilles sont réputés constitutifs de l’offre.</w:t>
      </w:r>
    </w:p>
    <w:p w14:paraId="295227DB" w14:textId="77777777" w:rsidR="00175473" w:rsidRPr="0093549D" w:rsidRDefault="00DF3923">
      <w:pPr>
        <w:pStyle w:val="Paragraphedeliste"/>
        <w:numPr>
          <w:ilvl w:val="0"/>
          <w:numId w:val="2"/>
        </w:num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Les grilles n’épuisent pas les exigences du CCTP : le candidat reste tenu de répondre point par point dans son mémoire technique à l’ensemble des paragraphes du CCTP, y compris ceux non repris ici.</w:t>
      </w:r>
    </w:p>
    <w:p w14:paraId="4FCFD666" w14:textId="6D21EB64" w:rsidR="00175473" w:rsidRPr="0093549D" w:rsidRDefault="00DF3923">
      <w:pPr>
        <w:pStyle w:val="Paragraphedeliste"/>
        <w:numPr>
          <w:ilvl w:val="0"/>
          <w:numId w:val="2"/>
        </w:num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 xml:space="preserve">Les éléments tarifaires ne figurent pas dans ce cadre et sont reportés </w:t>
      </w:r>
      <w:r w:rsidR="00B265E0">
        <w:rPr>
          <w:rFonts w:asciiTheme="minorHAnsi" w:hAnsiTheme="minorHAnsi" w:cstheme="minorHAnsi"/>
          <w:sz w:val="22"/>
        </w:rPr>
        <w:t>sur l’</w:t>
      </w:r>
      <w:r w:rsidRPr="0093549D">
        <w:rPr>
          <w:rFonts w:asciiTheme="minorHAnsi" w:hAnsiTheme="minorHAnsi" w:cstheme="minorHAnsi"/>
          <w:sz w:val="22"/>
        </w:rPr>
        <w:t>Annexe Financière (notamment grille tarifaire d’intégration d’un nouvel analyseur, PSE).</w:t>
      </w:r>
    </w:p>
    <w:p w14:paraId="7360D8B9" w14:textId="77777777" w:rsidR="00175473" w:rsidRPr="0093549D" w:rsidRDefault="00DF3923">
      <w:pPr>
        <w:spacing w:before="160"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28"/>
          <w:szCs w:val="24"/>
        </w:rPr>
        <w:t>Critère d’évaluation</w:t>
      </w:r>
    </w:p>
    <w:p w14:paraId="656730F5" w14:textId="29109BEF" w:rsidR="00175473" w:rsidRPr="0093549D" w:rsidRDefault="00DF3923">
      <w:pPr>
        <w:spacing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t>Les réponses portées dans ces grilles concourent à l’appréciation du critère technique de l’offre</w:t>
      </w:r>
      <w:r w:rsidR="004A1128" w:rsidRPr="0093549D">
        <w:rPr>
          <w:rFonts w:asciiTheme="minorHAnsi" w:hAnsiTheme="minorHAnsi" w:cstheme="minorHAnsi"/>
          <w:sz w:val="22"/>
        </w:rPr>
        <w:t xml:space="preserve">. </w:t>
      </w:r>
      <w:r w:rsidRPr="0093549D">
        <w:rPr>
          <w:rFonts w:asciiTheme="minorHAnsi" w:hAnsiTheme="minorHAnsi" w:cstheme="minorHAnsi"/>
          <w:sz w:val="22"/>
        </w:rPr>
        <w:t>Une attention particulière est portée à la connectivité des analyseurs tiers (grille 7) et au cas des EPOC NXS, ainsi qu’à la couverture fonctionnelle du middleware (grille 6).</w:t>
      </w:r>
    </w:p>
    <w:p w14:paraId="42CE1BAB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780841D7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lastRenderedPageBreak/>
        <w:t>Grille 1 — Présentation et dimensionnement de l’offre (CCTP §2.1 à §2.6, §4.1)</w:t>
      </w:r>
    </w:p>
    <w:p w14:paraId="6FD2C353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Le candidat justifie le dimensionnement du parc à partir des volumes communiqués (≈ 107 000 gazométries/an) et des capacités de ses équipements ; le nombre d’analyseurs par service est laissé à son appréciation (CCTP §2.6).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6CF1E12A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9C287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C9F51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CC373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700EB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79E0563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58022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57F37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Modèle(s) d’analyseur de gaz du sang proposé(s) : marque, référence commerciale, marquage CE-IVDR (classe de risque).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24709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FFAEC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F3CA45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59557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30F1C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Middleware proposé : nom, version, éditeur ; logiciel/fichier d’aide à la validation des méthodes proposé.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B82B9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6C566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799181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7A349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§2.6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3F5BA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Nombre total de gazomètres proposés et répartition par site / service, avec justification au regard des volumes et des pics d’activité.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CAC836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3A609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0D3575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3EE96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8CD83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Justification de la continuité de service : MTBF visé par analyseur (objectif indicatif &gt; 900 j) et taux d’interventions sur panne bloquante visé (objectif &lt; 2/an sur le parc).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5011A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C2BCD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35CA65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CAE9F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7E938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Dimensionnement du middleware : nombre de droits actifs pris en charge (≈ 2 100 au 06/02/2026) et marge d’évolution prévue sur 8 ans.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ED8F7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A656C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9F1337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66A72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2788E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Reprise d’historique du POCcelerator (≥ 24 mois) : profondeur proposée et modalités.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BC5B9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13716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69DF83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50099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§2.4 / §5.11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8BAF0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Réversibilité en fin de marché : format de restitution des données (CSV / XML / base SQL documentée) et/ou accès en consultation (durée proposée).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C697F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C0418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4AEB8D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47FD3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CB144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Interfaces incluses : raccordement bidirectionnel au SIL Molis et au système OneLink 2 (Siemens) ; intégration des devis d’interface CGM et Siemens dans l’offre.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D4EE9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D0C1F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DF4DC5A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45B64BE6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7D8AA346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lastRenderedPageBreak/>
        <w:t>Grille 2 — Performances analytiques (CCTP §4.1)</w:t>
      </w:r>
    </w:p>
    <w:p w14:paraId="4AA6A3C6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Renseigner « Oui / Non / Partiel » pour chaque paramètre mesurable en standard sur le modèle proposé, et compléter les éléments descriptifs.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6300"/>
        <w:gridCol w:w="1700"/>
        <w:gridCol w:w="4658"/>
      </w:tblGrid>
      <w:tr w:rsidR="00175473" w:rsidRPr="0093549D" w14:paraId="1661DBB4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E5B9C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14A86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Fonctionnalité / exigence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8DA91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Oui / Non / Partiel</w:t>
            </w: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9C0B1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Précisions — et solution compensatoire si « Non » ou « Partiel »</w:t>
            </w:r>
          </w:p>
        </w:tc>
      </w:tr>
      <w:tr w:rsidR="00175473" w:rsidRPr="0093549D" w14:paraId="158EE3B3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43364F5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Paramètres mesurés en standard sur l’analyseur proposé</w:t>
            </w:r>
          </w:p>
        </w:tc>
      </w:tr>
      <w:tr w:rsidR="00175473" w:rsidRPr="0093549D" w14:paraId="502C691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C1FFC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7D4BA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Gaz du sang : pH, pCO₂, pO₂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CC3CE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485D35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0499F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C838A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3129F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Électrolytes : Na⁺, K⁺, Cl⁻, Ca²⁺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22D7E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C141C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022963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92DD6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43FE3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Métabolites : glucose, lactate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7BBF3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62C4B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9798F4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E9E37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C764F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Hématocrite (Hct)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79BF7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B3CAD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E3B68E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7B0D6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BD39F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Co-oxymétrie : tHb, COHb, MetHb, O₂Hb, HHb, sO₂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65E95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B566F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A9EE7A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33F35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0ACB2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Bilirubine néonatale / totale (nBili / tBili)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1FCDA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21C56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0306EDE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2A70A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Caractéristiques analytiques</w:t>
            </w:r>
          </w:p>
        </w:tc>
      </w:tr>
      <w:tr w:rsidR="00175473" w:rsidRPr="0093549D" w14:paraId="2841476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19F6F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24440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Mode capillaire obligatoire (néonatalogie maternité / hôpital des enfants), volume ≤ 100 µL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53017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6CC15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DE2F58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5BE68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A7627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Détection des caillots (blocage du résultat / alarme)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78791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C9703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974975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F2061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DFCC1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Gestion des substances interférentes (endogènes et exogènes), paramètre par paramètre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A44E6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601E3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D5DABB8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DF09F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8E6AB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Marquage CE-IVD sur sang total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A1302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C1D03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A168B7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916E3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3EDD1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Marquage CE-IVD sur liquide pleural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B3DD5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3E6E3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287374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F063F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38B70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Ionogramme sur plasma sanguin / autres matrices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D16FE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BE3F1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A92021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60D4D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D3315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Saisie de la FiO₂ et intégration au calcul des paramètres dérivés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180D8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CCB03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3307C1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66BC0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47BDD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Modification a posteriori de la température corporelle avec recalcul pH(T)/pO₂(T)/pCO₂(T) et renvoi vers Molis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4BD46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1F41E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61515D0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0DF3C431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F27A6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lastRenderedPageBreak/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4F3B0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9770E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D40C9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1E15E1E8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BA3C4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A75DA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Liste exhaustive des paramètres calculés disponibles en standard (gradient alvéolo-artériel, PaO₂/FiO₂, bicarbonates, excès de base, osmolalité calculée…) et de ceux configurables à la demande.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C01AF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D867E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F966F5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88397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11E00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Volumes d’échantillon acceptés par type (artériel, veineux, capillaire) ; volume minimal capillaire.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CB424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BB902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473537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39BBB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E318F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Temps d’analyse (introduction → résultat) et délai minimal entre deux gazométries successives, y compris en cas de CIQ ou de calibration intercurrente.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42CD6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CF797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152DA5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55235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3A96A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Principe et sensibilité de la détection des caillots, comportement de l’analyseur (blocage / alarme) et procédure de nettoyage.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B265C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F7465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CF8E1D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8F07D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2B5FB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Fréquence et durée des étalonnages (totaux, 2 points, 1 point) ; possibilité d’interrompre une calibration pour un échantillon urgent.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03252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B51BD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037101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FBCDF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§4.1 / §5.3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18672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Natures de prélèvement gérées et capacité à créer/paramétrer des natures spécifiques (post-filtre, ECMO, cordon artériel/veineux, scalp, liquide pleural) ; limites (nombre, libellés, mapping Molis).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3AEDE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C5BED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B720E1A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7193CA4E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4DC5062D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3 — Utilisation de l’instrument, consommables et contrôles qualité (CCTP §4.2.1 et §4.2.2)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1D9005F1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8ABF4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D97D0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9D8A9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DBC7E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7FE254B8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940A40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§4.2.1 — Utilisation et consommables</w:t>
            </w:r>
          </w:p>
        </w:tc>
      </w:tr>
      <w:tr w:rsidR="00175473" w:rsidRPr="0093549D" w14:paraId="039BCF2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D91A6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D7533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Journée type décrite (maintenances quotidienne/hebdo/mensuelle avec durées, préparation, passage échantillons, CIQ ≥ 3/jour/analyseur sur 365 j, maintenance fin de journée) — chronogramme joint.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A01E5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BA27F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E5AE9D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67BDC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E8394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Consommables : nature et nombre de types de cartouches (mesure, rinçage, CQ auto…) et capacité en nombre de tests par cartouche.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E97B2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259F3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CD1120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C9883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7A844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Conditions de conservation (ambiante / réfrigérée), durée de vie avant ouverture, stabilité à bord après installation.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31BF1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7D5FC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15FF04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ACF56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50257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Temps d’immobilisation de l’analyseur lors d’un changement de cartouche.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BB5D3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F4E0C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C422E30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890F63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§4.2.2 — Contrôles qualité</w:t>
            </w:r>
          </w:p>
        </w:tc>
      </w:tr>
      <w:tr w:rsidR="00175473" w:rsidRPr="0093549D" w14:paraId="7E4365D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F2C69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B9A94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Panel CIQ : composition et nombre de niveaux ; valeurs cibles par paramètre et par niveau ; valeurs fixes ou variables selon les lots (valeurs des lots commercialisés fournies).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A016D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99B86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A3E4C3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A7961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35E33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Capacité de réservation annuelle de lots en cas de variation des valeurs cibles.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5AC6B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863F7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A1E9B4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FDCCF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ACFF6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Conditions de passage des EEQ (mode opératoire / adaptateur dédié) et nombre de pairs disponibles au CTCB pour les paramètres concernés.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CF5DA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478DF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876EDA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376BA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2A9BD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Outils de suivi des performances (CIQ/EEQ) sur la durée du marché : moyennes, écarts-types, CV%, Levey-Jennings, incertitudes, fidélité intermédiaire, comparaisons inter-instruments (gazomètres + analyseurs tiers), conformité ISO 15189:2022 / SH FORM, format des exports et automatisation.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AA938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EB646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586EDCA" w14:textId="520573C8" w:rsidR="00175473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3637A3B0" w14:textId="4DB9E944" w:rsidR="0093549D" w:rsidRDefault="0093549D">
      <w:pPr>
        <w:spacing w:after="120"/>
        <w:rPr>
          <w:rFonts w:asciiTheme="minorHAnsi" w:hAnsiTheme="minorHAnsi" w:cstheme="minorHAnsi"/>
          <w:sz w:val="22"/>
        </w:rPr>
      </w:pPr>
    </w:p>
    <w:p w14:paraId="7036A559" w14:textId="7EE2CB62" w:rsidR="0093549D" w:rsidRDefault="0093549D">
      <w:pPr>
        <w:spacing w:after="120"/>
        <w:rPr>
          <w:rFonts w:asciiTheme="minorHAnsi" w:hAnsiTheme="minorHAnsi" w:cstheme="minorHAnsi"/>
          <w:sz w:val="22"/>
        </w:rPr>
      </w:pPr>
    </w:p>
    <w:p w14:paraId="5DA17300" w14:textId="55DC5D86" w:rsidR="0093549D" w:rsidRDefault="0093549D">
      <w:pPr>
        <w:spacing w:after="120"/>
        <w:rPr>
          <w:rFonts w:asciiTheme="minorHAnsi" w:hAnsiTheme="minorHAnsi" w:cstheme="minorHAnsi"/>
          <w:sz w:val="22"/>
        </w:rPr>
      </w:pPr>
    </w:p>
    <w:p w14:paraId="01FCB726" w14:textId="77777777" w:rsidR="0093549D" w:rsidRPr="0093549D" w:rsidRDefault="0093549D">
      <w:pPr>
        <w:spacing w:after="120"/>
        <w:rPr>
          <w:rFonts w:asciiTheme="minorHAnsi" w:hAnsiTheme="minorHAnsi" w:cstheme="minorHAnsi"/>
          <w:sz w:val="22"/>
        </w:rPr>
      </w:pPr>
    </w:p>
    <w:p w14:paraId="645D2FFA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Les fonctionnalités CIQ/calibration à caractère binaire sont synthétisées ci-dessous.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6300"/>
        <w:gridCol w:w="1700"/>
        <w:gridCol w:w="4658"/>
      </w:tblGrid>
      <w:tr w:rsidR="00175473" w:rsidRPr="0093549D" w14:paraId="50C01E11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06829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CD46A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Fonctionnalité / exigence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1C666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Oui / Non / Partiel</w:t>
            </w: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9199A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Précisions — et solution compensatoire si « Non » ou « Partiel »</w:t>
            </w:r>
          </w:p>
        </w:tc>
      </w:tr>
      <w:tr w:rsidR="00175473" w:rsidRPr="0093549D" w14:paraId="28920A5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4E44D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B3138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Passage automatique des CIQ (programmation, déclenchement sans intervention opérateur)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017AA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CB83F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15A7ED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A2CE1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C9548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Relance manuelle d’un CIQ, d’une calibration simple ou complète, depuis l’analyseur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BD52E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2346A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03C9D08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C0AF7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1901E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Relance d’un CIQ / d’une calibration à distance via le middleware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6A332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389F1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593CC6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612E0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2F683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Blocage automatique des paramètres concernés en cas de CIQ non conforme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BE874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58CBE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2700AC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14DFE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DDCCD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Déblocage (manuel, automatique après résultat conforme, ou à distance via le middleware)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08825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7C1CF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F59F5A4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793178C1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79F27EB1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4 — Environnement technique et engagements de maintenance (CCTP §4.2.3 et §4.2.4)</w:t>
      </w:r>
    </w:p>
    <w:p w14:paraId="66F352CC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Les engagements chiffrés portés dans cette grille sont contractuels et seront classés selon leur performance (CCTP §4.2.4).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61A54FF0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BC37C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B379D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563D0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70A63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663AC0AE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DF8A0B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§4.2.3 — Environnement technique (cf. Annexe 8 — Visite de pré-installation)</w:t>
            </w:r>
          </w:p>
        </w:tc>
      </w:tr>
      <w:tr w:rsidR="00175473" w:rsidRPr="0093549D" w14:paraId="425281F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FECD7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1E456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Dimensions et longueur de paillasse requises ; dimensions des chariots.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591FD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264C8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5FCEA5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5130C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CA38A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Gestion des déchets et effluents (DASRI, conteneurs).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EB8AF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3F506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BBD09F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B6104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9B280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Besoins CVC, plomberie, électriques, sonores et calorifiques.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5B127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DF75F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EAAF91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348AB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BA990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Poids et dimensions de chaque élément.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8D4F65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2BDC3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A330BFF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0222D5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§4.2.4 — Maintenance des équipements (engagements du titulaire)</w:t>
            </w:r>
          </w:p>
        </w:tc>
      </w:tr>
      <w:tr w:rsidR="00175473" w:rsidRPr="0093549D" w14:paraId="5C3D956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600CD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D9F18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Délai de réponse hotline (objectif CHU &lt; 2 h) — valeur engagée.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134B7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43E1E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5E75E9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98BB3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5365C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Délai d’intervention sur site en cas de panne bloquante (objectif J+1) — valeur engagée.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73741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3A053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BCA905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2546A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149FE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Délai de fourniture des pièces détachées (objectif 24 h ouvrées) — valeur engagée.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46567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6F603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956ACC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10578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FBEFC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Disponibilité du parc garantie (objectif ≥ 98 %/an) — valeur engagée.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297AA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544E9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9CA64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2F063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0D4C9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Plan de continuité pour les analyseurs critiques (back-up, solution de repli).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40C91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6FA86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EFE49E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A4AFD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FB8D9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Amplitude horaire de la hotline (jours / heures) et canaux (téléphone, courriel, portail/espace client, prise en main à distance).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73F80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FF0F6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455E18B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C66870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§4.2.4 — Maintenance du middleware</w:t>
            </w:r>
          </w:p>
        </w:tc>
      </w:tr>
      <w:tr w:rsidR="00175473" w:rsidRPr="0093549D" w14:paraId="447D342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BA637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86C17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Niveaux de sévérité des incidents (bloquant / dégradé / mineur), délais de réponse et de résolution par niveau, canaux de signalement.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B9E2E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419EF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FEAEFC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470A7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68936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Accompagnement post-installation lors de la connexion d’un nouvel analyseur ou de l’activation d’une nouvelle analyse : ingénierie d’application, tests de validation, mise à jour du paramétrage ; délai d’intervention et conditions tarifaires (à reporter en Annexe 1).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EC988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A494B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2FC7178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7999BE77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1A2CCC13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5 — Formation et habilitation (CCTP §3.3)</w:t>
      </w:r>
    </w:p>
    <w:p w14:paraId="439DBDA8" w14:textId="47DD864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 xml:space="preserve">Rappel : le contenu e-learning est élaboré et mis à jour par </w:t>
      </w:r>
      <w:r w:rsidR="0093549D">
        <w:rPr>
          <w:rFonts w:asciiTheme="minorHAnsi" w:hAnsiTheme="minorHAnsi" w:cstheme="minorHAnsi"/>
          <w:i/>
          <w:iCs/>
          <w:szCs w:val="18"/>
        </w:rPr>
        <w:t>la cellule biologie délocalisée</w:t>
      </w:r>
      <w:r w:rsidRPr="0093549D">
        <w:rPr>
          <w:rFonts w:asciiTheme="minorHAnsi" w:hAnsiTheme="minorHAnsi" w:cstheme="minorHAnsi"/>
          <w:i/>
          <w:iCs/>
          <w:szCs w:val="18"/>
        </w:rPr>
        <w:t>du CHU ; le titulaire fournit uniquement le support technique de création et d’hébergement.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22584C3D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81BE2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69D6F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69471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D8B9A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19F1DA1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7175B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BE824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Nombre d’heures de formation initiale par niveau : opérateur/soignant, technicien/biologiste, référent qualité, administrateur middleware.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9843C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6D9B7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9BE718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49084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CFC77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Nombre de sessions de formation continue annuelles et modalités de formation des nouveaux entrants sur toute la durée du marché.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24E0B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CD082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390DF6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16D63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25957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Formation middleware différenciée par profil (utilisateurs gazomètres / administrateurs EBMD) : nombre de sessions, format (présentiel / distanciel / e-learning).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E4A02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E08D1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80C2C6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D6760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7B236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Nombre de formateurs mobilisés par site et par service en phases d’installation et de formation.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09915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1A751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D90296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0F8AD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4E086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Durée de formation par service, sessions simultanées ou séquentielles, calendrier prévisionnel.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A587B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54AD7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1FBAB2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90B5C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9A3B9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Durée de présence sur site après go-live (par site/service), y compris couverture des équipes de nuit et de week-end.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ED78A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3AAC9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FBF757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E25EC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5A96B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Suivi applicatif sur site postérieur à la mise en production : existence, fréquence, durée sur le marché, modalités (sur site / à distance).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54BA9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86A04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983C62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0A66D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1835A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Prise en charge de la formation des nouveaux référents désignés en cours de marché (au-delà de la formation initiale) et modalités.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CFF31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AD402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AD5B8B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54BA4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7B0AF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Paramètres configurables du parcours d’habilitation tracé : durée de validité des droits (référence actuelle : 6 mois), récurrence, conditions de réhabilitation.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61538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CEC7D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41B5339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0754B001" w14:textId="77777777" w:rsidR="00175473" w:rsidRPr="0093549D" w:rsidRDefault="00DF3923">
      <w:pPr>
        <w:spacing w:before="80"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22"/>
        </w:rPr>
        <w:t>Tableau 5.1 — Démonstration des règles d’habilitation, modèle par modèle (§3.3)</w:t>
      </w:r>
    </w:p>
    <w:p w14:paraId="56F0BC93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Renseigner « Oui / Non / Partiel » dans chaque case ; toute case « Non » ou « Partiel » est accompagnée de la solution organisationnelle compensatoire. Une ligne par modèle d’analyseur (gazomètre proposé + analyseurs tiers connectés).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58"/>
        <w:gridCol w:w="2000"/>
        <w:gridCol w:w="2200"/>
        <w:gridCol w:w="1900"/>
        <w:gridCol w:w="1900"/>
        <w:gridCol w:w="1900"/>
        <w:gridCol w:w="900"/>
      </w:tblGrid>
      <w:tr w:rsidR="00175473" w:rsidRPr="0093549D" w14:paraId="224B3A6D" w14:textId="77777777">
        <w:trPr>
          <w:tblHeader/>
        </w:trPr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7F45A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Modèle d’analyseur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A08B0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Activité minimale sur période</w:t>
            </w: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02B0E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Récurrence / habilitation précédente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49AFE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Nb de tests sur 12 mois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EE729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Taux d’erreurs sur 3 mois</w:t>
            </w: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AF92E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Quiz habilitation / réhabilitation</w:t>
            </w: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A385A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MT</w:t>
            </w:r>
          </w:p>
        </w:tc>
      </w:tr>
      <w:tr w:rsidR="00175473" w:rsidRPr="0093549D" w14:paraId="2CFF9760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0D2A8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Gazomètre proposé (gaz du sang)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249EF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F20B4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A724B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39733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06489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1CB95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B76D182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5F040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Atellica DCA (Siemens) — HbA1c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299B2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327D5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FE44D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A40A0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22910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22A09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F892933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506BB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StatStrip (Nova) — Lactate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41900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3ED44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63688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AF26F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75C21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A3E4B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24E58E1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FE6DA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GeneXpert (Cepheid) — PCR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C0AD1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BDA2B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17883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D181F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74C93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58089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25A9512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B4894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Afinion 2 (Abbott) — CRP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0344F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792EA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000A6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9CA2F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25578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9C399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6DD77D5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15C25C" w14:textId="18752677" w:rsidR="00175473" w:rsidRPr="0093549D" w:rsidRDefault="00DF3923" w:rsidP="0093549D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 xml:space="preserve">ID </w:t>
            </w:r>
            <w:r w:rsidR="0093549D" w:rsidRPr="0093549D">
              <w:rPr>
                <w:rFonts w:asciiTheme="minorHAnsi" w:hAnsiTheme="minorHAnsi" w:cstheme="minorHAnsi"/>
                <w:b/>
                <w:bCs/>
                <w:szCs w:val="18"/>
              </w:rPr>
              <w:t>N</w:t>
            </w:r>
            <w:r w:rsidR="0093549D">
              <w:rPr>
                <w:rFonts w:asciiTheme="minorHAnsi" w:hAnsiTheme="minorHAnsi" w:cstheme="minorHAnsi"/>
                <w:b/>
                <w:bCs/>
                <w:szCs w:val="18"/>
              </w:rPr>
              <w:t>OW</w:t>
            </w:r>
            <w:r w:rsidR="0093549D" w:rsidRPr="0093549D">
              <w:rPr>
                <w:rFonts w:asciiTheme="minorHAnsi" w:hAnsiTheme="minorHAnsi" w:cstheme="minorHAnsi"/>
                <w:b/>
                <w:bCs/>
                <w:szCs w:val="18"/>
              </w:rPr>
              <w:t xml:space="preserve"> </w:t>
            </w: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(Abbott) — PCR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CE0FB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3D1C6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781F4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54713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87E19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E6F1F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279465A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4AFDD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Hemochron Signature Elite (Werfen) — Coag.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F83A2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DBD45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6DF63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8B189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3BEBE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D668A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A8D8307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8CBE5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EPOC NXS (Siemens) — GDS / biochimie POC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6DF82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D6AC8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A5197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CE0DE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F8D29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B43CC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4266DD4" w14:textId="77777777">
        <w:tc>
          <w:tcPr>
            <w:tcW w:w="31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E8755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QUANTRA (Stago Biocare) — Thromboélastométrie</w:t>
            </w:r>
          </w:p>
        </w:tc>
        <w:tc>
          <w:tcPr>
            <w:tcW w:w="20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EB581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22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A0168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8CB8D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9B153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8A09B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9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A4964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150026E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057A1A72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38552AC8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6 — Fonctionnalités du middleware (CCTP §5.1 à §5.7)</w:t>
      </w:r>
    </w:p>
    <w:p w14:paraId="36570A4E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Cœur fonctionnel du dispositif EBMD. Renseigner « Oui / Non / Partiel » et préciser ; les capacités doivent couvrir gazomètres et automates tiers dans la limite des protocoles supportés (cf. grille 7).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6300"/>
        <w:gridCol w:w="1700"/>
        <w:gridCol w:w="4658"/>
      </w:tblGrid>
      <w:tr w:rsidR="00175473" w:rsidRPr="0093549D" w14:paraId="5605A74D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332F6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AE267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Fonctionnalité / exigence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063E8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Oui / Non / Partiel</w:t>
            </w: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98B93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Précisions — et solution compensatoire si « Non » ou « Partiel »</w:t>
            </w:r>
          </w:p>
        </w:tc>
      </w:tr>
      <w:tr w:rsidR="00175473" w:rsidRPr="0093549D" w14:paraId="64942F48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1F023A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§5.1 — Gestion des opérateurs et des habilitations</w:t>
            </w:r>
          </w:p>
        </w:tc>
      </w:tr>
      <w:tr w:rsidR="00175473" w:rsidRPr="0093549D" w14:paraId="32E6258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E6BBC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BF1E0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Identifiant unique opérateur (matricule CHU) et rattachement à un ou plusieurs services / sites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EFF71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E7138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C95359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395D1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B5210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Gestion par profils (utilisateur, référent qualité, biologiste, administrateur) et droits associés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C11C6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6B75D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C89FCC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36A6D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AA978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Règles d’habilitation / réhabilitation assignées et tracées par le middleware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583528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02126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99426C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B3FB1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B4B19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Désactivation automatique d’un opérateur sur seuil d’inactivité paramétrable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0DE0F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17B7DC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854203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A0C66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E8785F" w14:textId="61516072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Reprise de la base opérateurs existante (POCcelerator) au déploiement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5EA04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371CA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FCBC90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65CCF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75869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Journal d’audit de toute création/modification/suppression d’opérateur ou d’habilitation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B8F45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81C0B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DF21717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7ED195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§5.2 — Identito-vigilance et règles d’émission vers le SIL Molis</w:t>
            </w:r>
          </w:p>
        </w:tc>
      </w:tr>
      <w:tr w:rsidR="00175473" w:rsidRPr="0093549D" w14:paraId="63AF934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6CAA3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C9F5A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Blocage de l’émission des résultats vers Molis si patient non correctement identifié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E248C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0E17B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66FA69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B1EA8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80025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Prise en charge de l’identification provisoire d’urgence vitale (« 777 ») : analyse immédiate, émission après régularisation (scan a posteriori)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E5576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5802C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705F3C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5778B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BE568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Mise en attente, blocage et libération automatique des résultats à la régularisation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30B2BC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9C236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2A13C5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66650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3E6C7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Traçabilité des évènements d’identification (provisoire / régularisée / refusée) dans le journal d’audit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D3466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3FBF7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F8CB8C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94454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32515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Champs à saisie obligatoire « bloquants » paramétrables par le CHU (nom/prénom, température…)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67586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B6A96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5BA8E9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9A135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E406E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Modification a posteriori des données démographiques avec réémission automatique vers Molis (droits requis, traçabilité)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E8DAA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1813C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A4169C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FDB2B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BCF6B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Modification a posteriori de la température avec recalcul pH(T)/pO₂(T)/pCO₂(T) et renvoi vers Molis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525A3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5CF57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109C73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842D8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D3179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Impression : résultat patient seul / CQ seul / les deux ; réimpression ; alarmes analytiques et identitaires sur le ticket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3BDDC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B72B6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F189D4E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2F2D7CC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§5.3 — Natures de prélèvement et matrices</w:t>
            </w:r>
          </w:p>
        </w:tc>
      </w:tr>
      <w:tr w:rsidR="00175473" w:rsidRPr="0093549D" w14:paraId="26D83DD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57B05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§5.3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1424B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Création/paramétrage de natures spécifiques (post-filtre, ECMO, cordon artériel/veineux, scalp, liquide pleural) et transmission vers Molis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D13BB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EE023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0060B4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CA3C7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§5.3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7ECB1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Mapping avec Molis et procédure d’ajout d’une nature en cours de marché (limites : nombre, libellés, restrictions par instrument/service)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42291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2F3B6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348DD28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52EA584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§5.4 — Suivi de production et journalisation</w:t>
            </w:r>
          </w:p>
        </w:tc>
      </w:tr>
      <w:tr w:rsidR="00175473" w:rsidRPr="0093549D" w14:paraId="2A67F5C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5900B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7CC39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Vue temps réel de l’état des gazomètres et automates tiers (en service, panne, maintenance, calibration)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67A22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C3FA5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D3D282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4DD8F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8A7D7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Volumes d’examens par paramètre, opérateur, service, site et période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FBF50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F2F8B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56394D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3B250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097AB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Journal d’événements horodaté (alarmes, erreurs, blocages, interventions)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B5257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6AB9B9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04A86F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52FE5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F4F70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Traçabilité des lots (réactifs, calibrants, contrôles) avec rapprochement résultat ↔ lot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B6693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EF458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19FD90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28531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07EA3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Suivi des consommations et alertes paramétrables (stock, péremption, dérives)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B1833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04C8F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0FC2DD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5479F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D6DB1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Historisation en ligne accessible sur les 8 années du marché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9F936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E71AC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6F4271D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576BB1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§5.5 — Contrôles qualité et suivi des performances</w:t>
            </w:r>
          </w:p>
        </w:tc>
      </w:tr>
      <w:tr w:rsidR="00175473" w:rsidRPr="0093549D" w14:paraId="3BDD6F5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8D617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E2166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Remontée et exploitation des CIQ (≥ 3 niveaux, 3 passages/jour/analyseur, 365 j/an) et des EEQ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837D3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6849A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E2B01A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0646B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D47D8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Levey-Jennings et règles de Westgard paramétrables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DF843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E047B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82C8B3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EA5D6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0DD8B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Calcul moyennes, écarts-types, CV%, incertitudes, fidélité intermédiaire par paramètre et analyseur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3FA2F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5BF0A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2F2CE1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FE6891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2505D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Comparaisons inter-instruments (labo/délocalisé, intra-site, inter-sites)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5E4A4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541D3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B69466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D9C1F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F2163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Outils d’aide à l’accréditation ISO 15189:2022 et au remplissage des SH FORM (notamment SH FORM 43)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4A0EE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2A50C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9F7827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BF613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008B5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Exports (CSV, XML, PDF, Excel) et automatisation de la production/diffusion des rapports qualité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EE49B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8EEBC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C78EC00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754D4E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§5.6 — Rapports et exports</w:t>
            </w:r>
          </w:p>
        </w:tc>
      </w:tr>
      <w:tr w:rsidR="00175473" w:rsidRPr="0093549D" w14:paraId="2A08817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02916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91926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Rapports prédéfinis standard (activité opérateurs, calibrations, conformité CQ, opérateurs inactifs, alarmes, consommation lots…)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AA862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E8A4D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330E67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5B259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ABD112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Création de rapports paramétrables par les référents qualité du CHU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46F69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6E72A5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DCD5F2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06BB8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55D2E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Programmation et diffusion automatique des rapports (mail, dépôt sur partage CHU)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89017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09534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F13D91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C74AA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86F3E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API documentée pour interrogation externe (protocole, authentification, débit à préciser)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48CB7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B1DA6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CE5CEF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7CFC9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0F2D22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Envoi automatique de données techniques par les équipements en cas de panne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75A6F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94434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63AAA61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740A65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§5.7 — Prise en main et maintenance à distance</w:t>
            </w:r>
          </w:p>
        </w:tc>
      </w:tr>
      <w:tr w:rsidR="00175473" w:rsidRPr="0093549D" w14:paraId="6FC1468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A7235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0424E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Visualisation à distance de l’état, alarmes, consommables et compteurs de chaque analyseur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08EA1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096054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A2840B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BBF5A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CCA3B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Téléchargement, sauvegarde et restauration de la configuration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AB1BAA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53BA8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FE4B53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47544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789FE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Blocage / déblocage à distance d’un instrument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9C1E3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40ED8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0B4B6D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0A18F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6D795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Diffusion centralisée des paramétrages (opérateurs, profils, règles CQ, plages de référence)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D54A9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9A3A2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14D992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D822F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C1253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Conformité à la solution Wallix Bastion du CHU pour les prises en main externes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BC52C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C1790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8FA28B2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4FF7E3DF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73EDB19F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7 — Instruments supportés et richesse de connexion (CCTP §5.8)</w:t>
      </w:r>
    </w:p>
    <w:p w14:paraId="00C40D90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Matrice à compléter pour le gazomètre proposé et pour chaque analyseur tiers du §2.6. Renseigner « Oui / Non / Partiel » pour chaque capacité ; préciser le protocole et le sens de connexion.</w:t>
      </w:r>
    </w:p>
    <w:tbl>
      <w:tblPr>
        <w:tblW w:w="13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50"/>
        <w:gridCol w:w="1450"/>
        <w:gridCol w:w="1250"/>
        <w:gridCol w:w="1300"/>
        <w:gridCol w:w="1300"/>
        <w:gridCol w:w="1300"/>
        <w:gridCol w:w="1300"/>
        <w:gridCol w:w="1150"/>
        <w:gridCol w:w="1300"/>
        <w:gridCol w:w="1208"/>
      </w:tblGrid>
      <w:tr w:rsidR="00175473" w:rsidRPr="0093549D" w14:paraId="67D63433" w14:textId="77777777">
        <w:trPr>
          <w:tblHeader/>
        </w:trPr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C48F6E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Instrument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34A82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Protocole (POCT1-A2 / HL7 / ASTM / propr.)</w:t>
            </w: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22BF7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Mono / Bi-directionnel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1760D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Download opérateurs / habilitations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EBE03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Download identités patient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05875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Blocage opérateur non habilité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258A3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ID positive patient &amp; opérateur</w:t>
            </w: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2334A2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Remontée CIQ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AF7CA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Prise en main à distance</w:t>
            </w: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4EC48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Blocage / libération émission</w:t>
            </w:r>
          </w:p>
        </w:tc>
      </w:tr>
      <w:tr w:rsidR="00175473" w:rsidRPr="0093549D" w14:paraId="1E971631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9D7B7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Gazomètre proposé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796767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4CC00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708B5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9F440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029BB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51B772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B78A5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43A7D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89BFF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DCE2EE8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3B222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Atellica DCA (Siemens) ×4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9A0F8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952945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10E54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339C12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B474B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AEFB35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BF859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74D72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6F098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1014228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EA351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StatStrip (Nova) ×2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03F07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72D3D7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9C644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BF2A3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C4668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9D8F4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B8E488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81EDB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894AA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DD0F588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853C46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GeneXpert (Cepheid) ×1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A3B03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ACECC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0549B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EACCA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B8DE5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3726C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3D81C8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CA43C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96E4B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8407C88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682CF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Afinion 2 (Abbott) ×6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91A8F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0AFBC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6A773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6C0BC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0D0E8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0F47D6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7BE98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BBC03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C9800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8100631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CF642E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ID Now (Abbott) ×9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71550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CD902A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48AC1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FE06B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E5505C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CAA47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13490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1E5AAC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D532F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C24FA95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CA59F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Hemochron Signature Elite (Werfen) ×2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E9891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3CC13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CE66D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4B9DC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F1593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F8CFC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248BB2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3F715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BEB478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9F3D0E2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AE2AD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EPOC NXS (Siemens) ×7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ADD4D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CC17E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BE995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0CAE6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8C7FC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0EADE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33B651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5E60B1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43ED4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D0C8C65" w14:textId="77777777">
        <w:tc>
          <w:tcPr>
            <w:tcW w:w="2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A1383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 w:val="18"/>
                <w:szCs w:val="17"/>
              </w:rPr>
              <w:t>QUANTRA (Stago Biocare) ×1</w:t>
            </w:r>
          </w:p>
        </w:tc>
        <w:tc>
          <w:tcPr>
            <w:tcW w:w="14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F6156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9F191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9120B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A155F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6BA8C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363E5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15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802995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C0D97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20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62D185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4572D78E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06F0E522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C44CC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C1971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CDA3A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0ADDE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276BAD8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292EB84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62209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Procédure et délai type d’intégration d’un nouveau modèle d’analyseur en cours de marché (grille tarifaire à reporter en Annexe 1).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88069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716CE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68ED55E1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74049544" w14:textId="77777777" w:rsidR="00175473" w:rsidRPr="0093549D" w:rsidRDefault="00DF3923">
      <w:pPr>
        <w:spacing w:before="120" w:after="8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22"/>
        </w:rPr>
        <w:t>Tableau 7.1 — Cas particulier des analyseurs EPOC NXS (Siemens) — §5.8 / §2.6</w:t>
      </w:r>
    </w:p>
    <w:p w14:paraId="6EDF4D8F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Point critique. Compte tenu de la dépendance actuelle au module Meditrac, toute omission ou réponse imprécise sera traitée comme une dégradation maximale au titre du critère technique.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38B327C9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AF4A8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ACB0651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9BE332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0BC73C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2551A2E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0A193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A7652F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Stratégie de raccordement des EPOC NXS au middleware proposé : passage par Meditrac, connexion directe, passerelle, ou autre — conditions techniques.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59642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63521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BE5229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E39AF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BCB2C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Périmètre fonctionnel PRÉSERVÉ sur les EPOC, capacité par capacité (download opérateurs/habilitations, download identités patient, blocage opérateur non habilité, ID positive, remontée CIQ, prise en main à distance, diffusion centralisée des mises à jour).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24175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A17A7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5B2B53D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6CED8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DFF78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Périmètre fonctionnel NON COUVERT ou DÉGRADÉ, sans omission.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427E07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DA31B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AB28F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DFCAF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7B200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Adaptations organisationnelles compensatoires (gestion locale opérateurs/habilitations, CIQ/EEQ, diffusion manuelle des mises à jour…), en cohérence avec l’ISO 15189:2022 annexe EBMD.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89924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1BC80F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C4E7068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283B21DF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Rappel parc EPOC NXS : 7 unités (CHU Purpan — Pôle Biologie P3, SMUR, CH Muret, CH Lavaur). Le candidat précisera l’impact site par site le cas échéant.</w:t>
      </w:r>
    </w:p>
    <w:p w14:paraId="7F8F248D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317A2C6F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8 — Informatique, sécurité, mode dégradé et réversibilité (CCTP chapitre 5 « Informatique »)</w:t>
      </w:r>
    </w:p>
    <w:p w14:paraId="370777DD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Complète les annexes DSIO / SSI et l’Annexe 2 — Connexion informatique. Les exigences SSI s’additionnent.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6300"/>
        <w:gridCol w:w="1700"/>
        <w:gridCol w:w="4658"/>
      </w:tblGrid>
      <w:tr w:rsidR="00175473" w:rsidRPr="0093549D" w14:paraId="00780044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8E357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A5404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Fonctionnalité / exigence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A0239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Oui / Non / Partiel</w:t>
            </w: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82F18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Précisions — et solution compensatoire si « Non » ou « Partiel »</w:t>
            </w:r>
          </w:p>
        </w:tc>
      </w:tr>
      <w:tr w:rsidR="00175473" w:rsidRPr="0093549D" w14:paraId="4E690AE7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16AEE3E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Sécurité et architecture</w:t>
            </w:r>
          </w:p>
        </w:tc>
      </w:tr>
      <w:tr w:rsidR="00175473" w:rsidRPr="0093549D" w14:paraId="7EF6FB82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D40EE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4D9BE0" w14:textId="795A6D20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Positionnement sur la norme ISO</w:t>
            </w:r>
            <w:r w:rsidR="00522D25">
              <w:rPr>
                <w:rFonts w:asciiTheme="minorHAnsi" w:hAnsiTheme="minorHAnsi" w:cstheme="minorHAnsi"/>
                <w:szCs w:val="19"/>
              </w:rPr>
              <w:t>/IEC</w:t>
            </w:r>
            <w:r w:rsidRPr="0093549D">
              <w:rPr>
                <w:rFonts w:asciiTheme="minorHAnsi" w:hAnsiTheme="minorHAnsi" w:cstheme="minorHAnsi"/>
                <w:szCs w:val="19"/>
              </w:rPr>
              <w:t xml:space="preserve"> 27001</w:t>
            </w:r>
            <w:r w:rsidR="00522D25">
              <w:rPr>
                <w:rFonts w:asciiTheme="minorHAnsi" w:hAnsiTheme="minorHAnsi" w:cstheme="minorHAnsi"/>
                <w:szCs w:val="19"/>
              </w:rPr>
              <w:t>:2022</w:t>
            </w:r>
            <w:r w:rsidRPr="0093549D">
              <w:rPr>
                <w:rFonts w:asciiTheme="minorHAnsi" w:hAnsiTheme="minorHAnsi" w:cstheme="minorHAnsi"/>
                <w:szCs w:val="19"/>
              </w:rPr>
              <w:t xml:space="preserve"> (respectée ou non)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61AAE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E73C0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FD2C6D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41BAD0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CAAB4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Composants de base hors mode SaaS (SaaS limité aux composants non critiques)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E18CD2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834AA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D29C9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22594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4C8D83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Postes Windows 10 IoT LTSC (ou supérieur validé CHU), compatibilité antivirus XDR Palo Alto Cortex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1B3F0C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4E886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C929C9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CF601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§5.3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A74F5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VM au Data Center CHU : bases en VM différenciées (SQL Server/Windows, autres/Linux), PRA décrit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9C954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2178D4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0C7453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F8E9D4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D359F9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Équipements informatiques configurés en RAID 1 ; supports d’écriture neufs uniquement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39218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C8FE0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332912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7B7188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6360E0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Connexion bidirectionnelle middleware ↔ SIL Molis ; flux normalisés (HL7/ASTM/POCT1-A2) en MLLP, chiffrés TLS 1.2 minimum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2C4E17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60B1BB5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B44ED4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F7209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§5.6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AA2D4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Télémaintenance exclusivement via Wallix Bastion du CHU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97D05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20616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86930B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E4EABC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21EBE8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Intégration au domaine AD Windows ; interface LDAP / IAM pour la gestion des opérateurs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63F69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F84B2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56843CE7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67F2392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§5.5 — Mode dégradé / scénario de cyberattaque (mise hors ligne ≥ 72 h)</w:t>
            </w:r>
          </w:p>
        </w:tc>
      </w:tr>
      <w:tr w:rsidR="00175473" w:rsidRPr="0093549D" w14:paraId="4F1DD77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2151D8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4DA2D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Mémorisation locale de l’intégralité des résultats patients pendant la déconnexion, sans perte ni interruption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C6CBDA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B4048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5ED1E6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6DF4A0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277A3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Renvoi différé vers interface saine à la reconnexion, avec garantie d’intégrité et de traçabilité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89102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3DCFEF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7CFDAF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A748B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9E288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Kit cybersécurité documenté (clés USB dédiées, neuves, chiffrées si nécessaire), remis à la mise en production et maintenu à jour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D85301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99297A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27BBDC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0F5F7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§5.4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CF15A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Sauvegarde des paramétrages des gazomètres (via middleware ou sauvegarde physique déportée) avec vérification d’intégrité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7D857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755CF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02B691B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49BC7A31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6C226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708AF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90968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0EC711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54004A6F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EA8920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§5.5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F6E36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Capacité maximale de mémorisation locale par analyseur (nombre de résultats, durée) et temps de resynchronisation estimé après reconnexion.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7F67A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FB814B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7162E6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3471F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§5.3 / §5.4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0420CA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Prérequis des VM hébergées au Data Center CHU ; solution de protection des données et du paramétrage ; volumétrie de sauvegarde.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6AB0F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E1497F4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1921CB1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FEF93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§5.9 / §5.10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AA832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Procédure de redémarrage régulier des composants (ordre, fréquence) sans désynchronisation ; gestion de l’obsolescence des composants logiciels critiques (OS, BDD).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075308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D4677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CFA756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D6391A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§5.11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FD8C92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Reprise (≥ 24 mois POCcelerator + paramétrage opérateurs/habilitations) et réversibilité en fin de marché (format ouvert documenté, suppression sécurisée après validation CHU).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AAC50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456474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1F76797D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1F1F6310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Documents à fournir au titre de l’offre (chapitre 5) : (1) description détaillée de l’intégration au SI du CHU + schéma synoptique (Visio/PDF) ; (2) présentation fonctionnelle et technique de la connexion ; (3) fichier Annexe CCTP SSI complété ; matrice de flux détaillée.</w:t>
      </w:r>
    </w:p>
    <w:p w14:paraId="12282E90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2A8F044F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9 — Installation, déploiement et coordination avec le sortant (CCTP §3.1, §3.2 et chapitre 6)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2A29FDE0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BA514C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1BEEF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AB423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616F7B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74936038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FD3E6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950194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Calendrier optimisé de validation des méthodes (engageant) ; objectif indicatif de déploiement complet en 3 mois à compter de la notification.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E6E8E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80ADA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5E0FD6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4DF422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F984B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Accompagnement opérationnel : répétabilité/reproductibilité par paramètre et site, comparaison de méthodes, extraction/compilation des données SH FORM 43.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665E2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03755B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CFC4A6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65B4FB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DCC64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Conformité IVDR 2017/746, marquage CE-IVD et classe de risque ; dossiers QI/QO en français ; certificats des logiciels embarqués.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3AF0AAE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D395EF2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E63AD5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5BFE94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§3.2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E650CAE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Fourniture des onduleurs (services de soins) et des chariots/supports mobiles (SSPI HE Purpan, Réa neurochirurgicale Purpan, Bloc CCV Rangueil, et autres à valider en visite).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5A4386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15261B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523A37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FE43D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§6.1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7D696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Capacité à installer sans travaux (paillasse, électricité, réseau, fluidique) ; fourniture du mobilier dédié couverte par l’offre.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411CE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FDF81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9D5045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41B6A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§6.2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B0A3DD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Périmètre exact de la prestation d’installation (livraison, montage, mise en service, connexions, formation 1er niveau, validation des méthodes).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F3ABB7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0F44F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C1E90D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140A7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§6.3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7E366E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Planning détaillé de déploiement par site/service avec maintien d’un back-up à chaque étape ; migration opérateurs/habilitations ; bascule des interfaces Molis et phase de double-run validée ; formation en amont du go-live.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EF91AC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B44097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5BA638A1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12D753C1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69B4CFBA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10 — Prestations Supplémentaires Éventuelles — PSE facultatives (CCTP §2.8)</w:t>
      </w:r>
    </w:p>
    <w:p w14:paraId="589210C0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Réponse non obligatoire ; chaque PSE est cotée séparément en Annexe 1 et n’influence pas le classement de l’offre principale.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7100"/>
        <w:gridCol w:w="4258"/>
        <w:gridCol w:w="1300"/>
      </w:tblGrid>
      <w:tr w:rsidR="00175473" w:rsidRPr="0093549D" w14:paraId="64BB637C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996B17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AE4D49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Élément attendu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D7D425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Réponse du candidat (à compléter)</w:t>
            </w: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DF2553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Renvoi mémoire tech. (§ / p.)</w:t>
            </w:r>
          </w:p>
        </w:tc>
      </w:tr>
      <w:tr w:rsidR="00175473" w:rsidRPr="0093549D" w14:paraId="709D93AA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03E483B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PSE 1 — Module hémolyse intégré</w:t>
            </w:r>
          </w:p>
        </w:tc>
      </w:tr>
      <w:tr w:rsidR="00175473" w:rsidRPr="0093549D" w14:paraId="5067792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836C39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FA41D0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Disponibilité d’une détection automatique de l’hémolyse (intégrée à l’analyseur ou à la cartouche), en priorité urgences / hôpital des enfants / maternité.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BB86C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32D6AD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7C04B2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A024A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6AB5086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Modalités de signalement à l’opérateur (seuils, alertes, blocage éventuel du résultat), traçabilité au middleware et transmission à Molis.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3CD216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95472AE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6214BA77" w14:textId="77777777">
        <w:tc>
          <w:tcPr>
            <w:tcW w:w="13958" w:type="dxa"/>
            <w:gridSpan w:val="4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D6E4F0"/>
            <w:tcMar>
              <w:top w:w="60" w:type="dxa"/>
              <w:left w:w="110" w:type="dxa"/>
              <w:bottom w:w="60" w:type="dxa"/>
              <w:right w:w="110" w:type="dxa"/>
            </w:tcMar>
          </w:tcPr>
          <w:p w14:paraId="370F53F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1F4E79"/>
                <w:szCs w:val="19"/>
              </w:rPr>
              <w:t>PSE 2 — Dosage de la créatinine sur le site de Lavaur</w:t>
            </w:r>
          </w:p>
        </w:tc>
      </w:tr>
      <w:tr w:rsidR="00175473" w:rsidRPr="0093549D" w14:paraId="1457EDB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042469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9BD7A5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Conditions techniques d’intégration de la créatinine (réactifs, calibration, contrôles) sur les analyseurs de Lavaur, en solution de repli.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AC89EB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833BFF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2DE9E5B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46C1C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§2.8</w:t>
            </w:r>
          </w:p>
        </w:tc>
        <w:tc>
          <w:tcPr>
            <w:tcW w:w="71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1838E70" w14:textId="79753370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Organisation d’un recours ponctuel (hors routine) et hypothèse d’un dosage systématique : conséquences en consommables, coûts et exigences d’accréditation ISO 15189</w:t>
            </w:r>
            <w:r w:rsidR="00522D25">
              <w:rPr>
                <w:rFonts w:asciiTheme="minorHAnsi" w:hAnsiTheme="minorHAnsi" w:cstheme="minorHAnsi"/>
                <w:szCs w:val="19"/>
              </w:rPr>
              <w:t>:2022</w:t>
            </w:r>
            <w:r w:rsidRPr="0093549D">
              <w:rPr>
                <w:rFonts w:asciiTheme="minorHAnsi" w:hAnsiTheme="minorHAnsi" w:cstheme="minorHAnsi"/>
                <w:szCs w:val="19"/>
              </w:rPr>
              <w:t>.</w:t>
            </w:r>
          </w:p>
        </w:tc>
        <w:tc>
          <w:tcPr>
            <w:tcW w:w="42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EFC0E3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B94DC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011EAB8C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p w14:paraId="10A7DC53" w14:textId="77777777" w:rsidR="00175473" w:rsidRPr="0093549D" w:rsidRDefault="00DF3923">
      <w:pPr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sz w:val="22"/>
        </w:rPr>
        <w:br w:type="page"/>
      </w:r>
    </w:p>
    <w:p w14:paraId="12BC140E" w14:textId="77777777" w:rsidR="00175473" w:rsidRPr="0093549D" w:rsidRDefault="00DF3923">
      <w:pPr>
        <w:pBdr>
          <w:bottom w:val="single" w:sz="8" w:space="2" w:color="1F4E79"/>
        </w:pBd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b/>
          <w:bCs/>
          <w:color w:val="1F4E79"/>
          <w:sz w:val="32"/>
          <w:szCs w:val="28"/>
        </w:rPr>
        <w:t>Grille 11 — Liste de contrôle des pièces à fournir (rappel)</w:t>
      </w:r>
    </w:p>
    <w:p w14:paraId="545A0908" w14:textId="77777777" w:rsidR="00175473" w:rsidRPr="0093549D" w:rsidRDefault="00DF3923">
      <w:pPr>
        <w:spacing w:before="60" w:after="120"/>
        <w:rPr>
          <w:rFonts w:asciiTheme="minorHAnsi" w:hAnsiTheme="minorHAnsi" w:cstheme="minorHAnsi"/>
          <w:sz w:val="22"/>
        </w:rPr>
      </w:pPr>
      <w:r w:rsidRPr="0093549D">
        <w:rPr>
          <w:rFonts w:asciiTheme="minorHAnsi" w:hAnsiTheme="minorHAnsi" w:cstheme="minorHAnsi"/>
          <w:i/>
          <w:iCs/>
          <w:szCs w:val="18"/>
        </w:rPr>
        <w:t>Récapitulatif non exhaustif — se reporter au chapitre 7 du CCTP et au Règlement de la Consultation.</w:t>
      </w:r>
    </w:p>
    <w:tbl>
      <w:tblPr>
        <w:tblW w:w="13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00"/>
        <w:gridCol w:w="6300"/>
        <w:gridCol w:w="1700"/>
        <w:gridCol w:w="4658"/>
      </w:tblGrid>
      <w:tr w:rsidR="00175473" w:rsidRPr="0093549D" w14:paraId="3CFE7DFD" w14:textId="77777777">
        <w:trPr>
          <w:tblHeader/>
        </w:trPr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D1952FC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Réf. CCTP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F914BE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Fonctionnalité / exigence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19221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Oui / Non / Partiel</w:t>
            </w: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1F4E79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33E02CE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color w:val="FFFFFF"/>
                <w:szCs w:val="19"/>
              </w:rPr>
              <w:t>Précisions — et solution compensatoire si « Non » ou « Partiel »</w:t>
            </w:r>
          </w:p>
        </w:tc>
      </w:tr>
      <w:tr w:rsidR="00175473" w:rsidRPr="0093549D" w14:paraId="440AA20A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3434F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§1.2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FE1C533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Mémoire technique répondant point par point au CCTP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356EF9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3291A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8DC0AB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6F72276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1F1F7F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1 — Annexe Financière (MAD 8 ans, décomposition par poste, prix catalogue, grilles tarifaires PSE et intégration analyseur)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C366B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547A6F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16EFED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C94244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A3FFC0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2 — Connexion informatique complétée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3B367C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4A1776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E2C710C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33561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79D3D1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3 — Contraintes d’implantation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2BFEC9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7E52E4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3D6FE1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F98F6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5FE7B04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4 — Livraison, Installation, Formation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C22F2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A98D2AD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0046D739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DF21A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01C022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5 — Service Après-Vente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D8C5CC0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CCF1AE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10A7A76B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8BB630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7D1C0C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6 — Cahier des charges VM GDS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4DE83D8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774A34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30D1C23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CE6D32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C3FC8EB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7 — Questionnaire Informatique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60BAA3A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88E3828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3CEF037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8FD611A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B82FBFD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 8 — Visite de pré-installation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3B09CEB6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24BDFA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FBA9D6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4E247D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7EA2BF7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Annexes DSIO (Charte SI, Annexe CCTP SSI, Support Annexe CCTP SSI)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DA5730F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F3BAF23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82DAA25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534F0B3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§7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B02E80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Fiche de renseignements fournisseur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98C4F0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6C17EE2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385FE37E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0AE54C00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ch.5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9A14789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Schéma synoptique cible d’architecture (Visio / PDF) et matrice de flux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B421AB3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072D41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787F8994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51A71A2F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§4.2.1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12A46CDF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Chronogramme de la journée type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8F15AC9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E34BE90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  <w:tr w:rsidR="00175473" w:rsidRPr="0093549D" w14:paraId="4A550800" w14:textId="77777777">
        <w:tc>
          <w:tcPr>
            <w:tcW w:w="1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4FCDE8ED" w14:textId="77777777" w:rsidR="00175473" w:rsidRPr="0093549D" w:rsidRDefault="00DF3923">
            <w:pPr>
              <w:jc w:val="center"/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b/>
                <w:bCs/>
                <w:szCs w:val="18"/>
              </w:rPr>
              <w:t>—</w:t>
            </w:r>
          </w:p>
        </w:tc>
        <w:tc>
          <w:tcPr>
            <w:tcW w:w="63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296DB72C" w14:textId="77777777" w:rsidR="00175473" w:rsidRPr="0093549D" w:rsidRDefault="00DF3923">
            <w:pPr>
              <w:rPr>
                <w:rFonts w:asciiTheme="minorHAnsi" w:hAnsiTheme="minorHAnsi" w:cstheme="minorHAnsi"/>
                <w:sz w:val="22"/>
              </w:rPr>
            </w:pPr>
            <w:r w:rsidRPr="0093549D">
              <w:rPr>
                <w:rFonts w:asciiTheme="minorHAnsi" w:hAnsiTheme="minorHAnsi" w:cstheme="minorHAnsi"/>
                <w:szCs w:val="19"/>
              </w:rPr>
              <w:t>Présent Cadre de réponse technique intégralement complété</w:t>
            </w:r>
          </w:p>
        </w:tc>
        <w:tc>
          <w:tcPr>
            <w:tcW w:w="1700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7118DC1D" w14:textId="77777777" w:rsidR="00175473" w:rsidRPr="0093549D" w:rsidRDefault="00175473">
            <w:pPr>
              <w:jc w:val="center"/>
              <w:rPr>
                <w:rFonts w:asciiTheme="minorHAnsi" w:hAnsiTheme="minorHAnsi" w:cstheme="minorHAnsi"/>
                <w:sz w:val="22"/>
              </w:rPr>
            </w:pPr>
          </w:p>
        </w:tc>
        <w:tc>
          <w:tcPr>
            <w:tcW w:w="4658" w:type="dxa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shd w:val="clear" w:color="auto" w:fill="FFFDF0"/>
            <w:tcMar>
              <w:top w:w="60" w:type="dxa"/>
              <w:left w:w="110" w:type="dxa"/>
              <w:bottom w:w="60" w:type="dxa"/>
              <w:right w:w="110" w:type="dxa"/>
            </w:tcMar>
            <w:vAlign w:val="center"/>
          </w:tcPr>
          <w:p w14:paraId="61C1292A" w14:textId="77777777" w:rsidR="00175473" w:rsidRPr="0093549D" w:rsidRDefault="00175473">
            <w:pPr>
              <w:rPr>
                <w:rFonts w:asciiTheme="minorHAnsi" w:hAnsiTheme="minorHAnsi" w:cstheme="minorHAnsi"/>
                <w:sz w:val="22"/>
              </w:rPr>
            </w:pPr>
          </w:p>
        </w:tc>
      </w:tr>
    </w:tbl>
    <w:p w14:paraId="3B20B660" w14:textId="77777777" w:rsidR="00175473" w:rsidRPr="0093549D" w:rsidRDefault="00175473">
      <w:pPr>
        <w:spacing w:after="120"/>
        <w:rPr>
          <w:rFonts w:asciiTheme="minorHAnsi" w:hAnsiTheme="minorHAnsi" w:cstheme="minorHAnsi"/>
          <w:sz w:val="22"/>
        </w:rPr>
      </w:pPr>
    </w:p>
    <w:sectPr w:rsidR="00175473" w:rsidRPr="0093549D">
      <w:headerReference w:type="default" r:id="rId10"/>
      <w:footerReference w:type="default" r:id="rId11"/>
      <w:pgSz w:w="16838" w:h="11906" w:orient="landscape"/>
      <w:pgMar w:top="1080" w:right="1440" w:bottom="108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F2C74" w14:textId="77777777" w:rsidR="0093549D" w:rsidRDefault="0093549D">
      <w:r>
        <w:separator/>
      </w:r>
    </w:p>
  </w:endnote>
  <w:endnote w:type="continuationSeparator" w:id="0">
    <w:p w14:paraId="1DC5CB48" w14:textId="77777777" w:rsidR="0093549D" w:rsidRDefault="00935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E461A" w14:textId="6A443E5A" w:rsidR="0093549D" w:rsidRDefault="0093549D">
    <w:pPr>
      <w:jc w:val="center"/>
    </w:pPr>
    <w:r>
      <w:rPr>
        <w:sz w:val="16"/>
        <w:szCs w:val="16"/>
      </w:rPr>
      <w:t xml:space="preserve">CHU de Toulouse — Consultation n° 26-XXXX — Page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PAGE</w:instrText>
    </w:r>
    <w:r>
      <w:rPr>
        <w:sz w:val="16"/>
        <w:szCs w:val="16"/>
      </w:rPr>
      <w:fldChar w:fldCharType="separate"/>
    </w:r>
    <w:r w:rsidR="00522D25">
      <w:rPr>
        <w:noProof/>
        <w:sz w:val="16"/>
        <w:szCs w:val="16"/>
      </w:rPr>
      <w:t>19</w:t>
    </w:r>
    <w:r>
      <w:rPr>
        <w:sz w:val="16"/>
        <w:szCs w:val="16"/>
      </w:rPr>
      <w:fldChar w:fldCharType="end"/>
    </w:r>
    <w:r>
      <w:rPr>
        <w:sz w:val="16"/>
        <w:szCs w:val="16"/>
      </w:rPr>
      <w:t xml:space="preserve"> / </w:t>
    </w:r>
    <w:r>
      <w:rPr>
        <w:sz w:val="16"/>
        <w:szCs w:val="16"/>
      </w:rPr>
      <w:fldChar w:fldCharType="begin"/>
    </w:r>
    <w:r>
      <w:rPr>
        <w:sz w:val="16"/>
        <w:szCs w:val="16"/>
      </w:rPr>
      <w:instrText>NUMPAGES</w:instrText>
    </w:r>
    <w:r>
      <w:rPr>
        <w:sz w:val="16"/>
        <w:szCs w:val="16"/>
      </w:rPr>
      <w:fldChar w:fldCharType="separate"/>
    </w:r>
    <w:r w:rsidR="00522D25">
      <w:rPr>
        <w:noProof/>
        <w:sz w:val="16"/>
        <w:szCs w:val="16"/>
      </w:rPr>
      <w:t>19</w:t>
    </w:r>
    <w:r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99A389" w14:textId="77777777" w:rsidR="0093549D" w:rsidRDefault="0093549D">
      <w:r>
        <w:separator/>
      </w:r>
    </w:p>
  </w:footnote>
  <w:footnote w:type="continuationSeparator" w:id="0">
    <w:p w14:paraId="3D696F76" w14:textId="77777777" w:rsidR="0093549D" w:rsidRDefault="00935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26CDC" w14:textId="77777777" w:rsidR="0093549D" w:rsidRDefault="0093549D">
    <w:pPr>
      <w:pBdr>
        <w:bottom w:val="single" w:sz="4" w:space="2" w:color="1F4E79"/>
      </w:pBdr>
    </w:pPr>
    <w:r>
      <w:rPr>
        <w:color w:val="1F4E79"/>
        <w:sz w:val="16"/>
        <w:szCs w:val="16"/>
      </w:rPr>
      <w:t>CCTP – AO Gazométrie 2026 — Annexe : Cadre de réponse technique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54C78"/>
    <w:multiLevelType w:val="hybridMultilevel"/>
    <w:tmpl w:val="979CA256"/>
    <w:lvl w:ilvl="0" w:tplc="443ACB9C">
      <w:start w:val="1"/>
      <w:numFmt w:val="bullet"/>
      <w:lvlText w:val="•"/>
      <w:lvlJc w:val="left"/>
      <w:pPr>
        <w:ind w:left="460" w:hanging="260"/>
      </w:pPr>
    </w:lvl>
    <w:lvl w:ilvl="1" w:tplc="A5D686C4">
      <w:numFmt w:val="decimal"/>
      <w:lvlText w:val=""/>
      <w:lvlJc w:val="left"/>
    </w:lvl>
    <w:lvl w:ilvl="2" w:tplc="ABA0B402">
      <w:numFmt w:val="decimal"/>
      <w:lvlText w:val=""/>
      <w:lvlJc w:val="left"/>
    </w:lvl>
    <w:lvl w:ilvl="3" w:tplc="50B6C702">
      <w:numFmt w:val="decimal"/>
      <w:lvlText w:val=""/>
      <w:lvlJc w:val="left"/>
    </w:lvl>
    <w:lvl w:ilvl="4" w:tplc="11042B7A">
      <w:numFmt w:val="decimal"/>
      <w:lvlText w:val=""/>
      <w:lvlJc w:val="left"/>
    </w:lvl>
    <w:lvl w:ilvl="5" w:tplc="56C63C66">
      <w:numFmt w:val="decimal"/>
      <w:lvlText w:val=""/>
      <w:lvlJc w:val="left"/>
    </w:lvl>
    <w:lvl w:ilvl="6" w:tplc="938019F6">
      <w:numFmt w:val="decimal"/>
      <w:lvlText w:val=""/>
      <w:lvlJc w:val="left"/>
    </w:lvl>
    <w:lvl w:ilvl="7" w:tplc="45E2790E">
      <w:numFmt w:val="decimal"/>
      <w:lvlText w:val=""/>
      <w:lvlJc w:val="left"/>
    </w:lvl>
    <w:lvl w:ilvl="8" w:tplc="AC12A17C">
      <w:numFmt w:val="decimal"/>
      <w:lvlText w:val=""/>
      <w:lvlJc w:val="left"/>
    </w:lvl>
  </w:abstractNum>
  <w:abstractNum w:abstractNumId="1" w15:restartNumberingAfterBreak="0">
    <w:nsid w:val="09537191"/>
    <w:multiLevelType w:val="hybridMultilevel"/>
    <w:tmpl w:val="25D009D6"/>
    <w:lvl w:ilvl="0" w:tplc="B8A64682">
      <w:start w:val="1"/>
      <w:numFmt w:val="bullet"/>
      <w:lvlText w:val="●"/>
      <w:lvlJc w:val="left"/>
      <w:pPr>
        <w:ind w:left="720" w:hanging="360"/>
      </w:pPr>
    </w:lvl>
    <w:lvl w:ilvl="1" w:tplc="73BA22DE">
      <w:start w:val="1"/>
      <w:numFmt w:val="bullet"/>
      <w:lvlText w:val="○"/>
      <w:lvlJc w:val="left"/>
      <w:pPr>
        <w:ind w:left="1440" w:hanging="360"/>
      </w:pPr>
    </w:lvl>
    <w:lvl w:ilvl="2" w:tplc="20084A52">
      <w:start w:val="1"/>
      <w:numFmt w:val="bullet"/>
      <w:lvlText w:val="■"/>
      <w:lvlJc w:val="left"/>
      <w:pPr>
        <w:ind w:left="2160" w:hanging="360"/>
      </w:pPr>
    </w:lvl>
    <w:lvl w:ilvl="3" w:tplc="B490891A">
      <w:start w:val="1"/>
      <w:numFmt w:val="bullet"/>
      <w:lvlText w:val="●"/>
      <w:lvlJc w:val="left"/>
      <w:pPr>
        <w:ind w:left="2880" w:hanging="360"/>
      </w:pPr>
    </w:lvl>
    <w:lvl w:ilvl="4" w:tplc="50F43524">
      <w:start w:val="1"/>
      <w:numFmt w:val="bullet"/>
      <w:lvlText w:val="○"/>
      <w:lvlJc w:val="left"/>
      <w:pPr>
        <w:ind w:left="3600" w:hanging="360"/>
      </w:pPr>
    </w:lvl>
    <w:lvl w:ilvl="5" w:tplc="28689C80">
      <w:start w:val="1"/>
      <w:numFmt w:val="bullet"/>
      <w:lvlText w:val="■"/>
      <w:lvlJc w:val="left"/>
      <w:pPr>
        <w:ind w:left="4320" w:hanging="360"/>
      </w:pPr>
    </w:lvl>
    <w:lvl w:ilvl="6" w:tplc="75B40D78">
      <w:start w:val="1"/>
      <w:numFmt w:val="bullet"/>
      <w:lvlText w:val="●"/>
      <w:lvlJc w:val="left"/>
      <w:pPr>
        <w:ind w:left="5040" w:hanging="360"/>
      </w:pPr>
    </w:lvl>
    <w:lvl w:ilvl="7" w:tplc="3A8C6908">
      <w:start w:val="1"/>
      <w:numFmt w:val="bullet"/>
      <w:lvlText w:val="●"/>
      <w:lvlJc w:val="left"/>
      <w:pPr>
        <w:ind w:left="5760" w:hanging="360"/>
      </w:pPr>
    </w:lvl>
    <w:lvl w:ilvl="8" w:tplc="C6425A56">
      <w:start w:val="1"/>
      <w:numFmt w:val="bullet"/>
      <w:lvlText w:val="●"/>
      <w:lvlJc w:val="left"/>
      <w:pPr>
        <w:ind w:left="6480" w:hanging="360"/>
      </w:pPr>
    </w:lvl>
  </w:abstractNum>
  <w:num w:numId="1" w16cid:durableId="237135596">
    <w:abstractNumId w:val="1"/>
    <w:lvlOverride w:ilvl="0">
      <w:startOverride w:val="1"/>
    </w:lvlOverride>
  </w:num>
  <w:num w:numId="2" w16cid:durableId="457381142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473"/>
    <w:rsid w:val="00175473"/>
    <w:rsid w:val="00225786"/>
    <w:rsid w:val="004A1128"/>
    <w:rsid w:val="00522D25"/>
    <w:rsid w:val="0093549D"/>
    <w:rsid w:val="00A53C61"/>
    <w:rsid w:val="00AF51ED"/>
    <w:rsid w:val="00B265E0"/>
    <w:rsid w:val="00DF3923"/>
    <w:rsid w:val="00E6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BAC68"/>
  <w15:docId w15:val="{07D5A5DF-852C-4983-8694-6F4C786B9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  <w:style w:type="character" w:styleId="Appeldenotedefin">
    <w:name w:val="endnote reference"/>
    <w:uiPriority w:val="99"/>
    <w:semiHidden/>
    <w:unhideWhenUsed/>
    <w:rPr>
      <w:vertAlign w:val="superscript"/>
    </w:rPr>
  </w:style>
  <w:style w:type="paragraph" w:styleId="Notedefin">
    <w:name w:val="endnote text"/>
    <w:link w:val="NotedefinCar"/>
    <w:uiPriority w:val="99"/>
    <w:semiHidden/>
    <w:unhideWhenUsed/>
  </w:style>
  <w:style w:type="character" w:customStyle="1" w:styleId="NotedefinCar">
    <w:name w:val="Note de fin Car"/>
    <w:link w:val="Notedefin"/>
    <w:uiPriority w:val="99"/>
    <w:semiHidden/>
    <w:unhideWhenUsed/>
    <w:rPr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3549D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354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D8BCDD9892D3438A98B702BD1F8162" ma:contentTypeVersion="1" ma:contentTypeDescription="Crée un document." ma:contentTypeScope="" ma:versionID="d1cdc92516f565b5624fc0d54e7229f5">
  <xsd:schema xmlns:xsd="http://www.w3.org/2001/XMLSchema" xmlns:xs="http://www.w3.org/2001/XMLSchema" xmlns:p="http://schemas.microsoft.com/office/2006/metadata/properties" xmlns:ns2="2dfeeb3c-2d72-4012-93f4-d0529e02ee8b" targetNamespace="http://schemas.microsoft.com/office/2006/metadata/properties" ma:root="true" ma:fieldsID="662c352509868ae6fba1cdcf19c4f2e4" ns2:_="">
    <xsd:import namespace="2dfeeb3c-2d72-4012-93f4-d0529e02ee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feeb3c-2d72-4012-93f4-d0529e02ee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99E7802-D4C3-44B8-BEE3-F07138BDAC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feeb3c-2d72-4012-93f4-d0529e02ee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6F1F56-5792-43A0-BF89-26A4212761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B049B5-9F76-40FE-A13A-D72ECE7504CF}">
  <ds:schemaRefs>
    <ds:schemaRef ds:uri="http://schemas.microsoft.com/office/infopath/2007/PartnerControls"/>
    <ds:schemaRef ds:uri="http://www.w3.org/XML/1998/namespace"/>
    <ds:schemaRef ds:uri="http://purl.org/dc/terms/"/>
    <ds:schemaRef ds:uri="http://schemas.microsoft.com/office/2006/metadata/properties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2dfeeb3c-2d72-4012-93f4-d0529e02ee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3884</Words>
  <Characters>21362</Characters>
  <Application>Microsoft Office Word</Application>
  <DocSecurity>0</DocSecurity>
  <Lines>178</Lines>
  <Paragraphs>50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Un-named</dc:creator>
  <cp:lastModifiedBy>VICTOR Eva</cp:lastModifiedBy>
  <cp:revision>2</cp:revision>
  <dcterms:created xsi:type="dcterms:W3CDTF">2026-06-19T11:34:00Z</dcterms:created>
  <dcterms:modified xsi:type="dcterms:W3CDTF">2026-06-19T11:34:00Z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0x0101005FD8BCDD9892D3438A98B702BD1F8162</vt:lpwstr>
  </property>
</Properties>
</file>